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D2" w:rsidRPr="00475276" w:rsidRDefault="00CC75D2" w:rsidP="00CC75D2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b/>
          <w:color w:val="2B2B2B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 xml:space="preserve">Battonya Város Önkormányzatának </w:t>
      </w:r>
      <w:r w:rsidR="00456DE1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 xml:space="preserve">Jegyzője </w:t>
      </w:r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 </w:t>
      </w:r>
      <w:r w:rsidRPr="00475276">
        <w:rPr>
          <w:rFonts w:ascii="Georgia" w:eastAsia="Times New Roman" w:hAnsi="Georgia" w:cs="Times New Roman"/>
          <w:b/>
          <w:color w:val="2B2B2B"/>
          <w:szCs w:val="24"/>
          <w:lang w:eastAsia="hu-HU"/>
        </w:rPr>
        <w:t>a közszolgálati tisztviselőkről szóló 2011. évi CXCIX. törvény 45. § (1) bekezdése alapján pályázatot hirdet </w:t>
      </w:r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 xml:space="preserve"> Battonyai Polgármesteri Hivatal </w:t>
      </w:r>
      <w:r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pénzügyi ügyintéző</w:t>
      </w:r>
      <w:r w:rsidRPr="00475276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 </w:t>
      </w:r>
      <w:r w:rsidRPr="00475276">
        <w:rPr>
          <w:rFonts w:ascii="Georgia" w:eastAsia="Times New Roman" w:hAnsi="Georgia" w:cs="Times New Roman"/>
          <w:b/>
          <w:color w:val="2B2B2B"/>
          <w:szCs w:val="24"/>
          <w:lang w:eastAsia="hu-HU"/>
        </w:rPr>
        <w:t>munkakör betöltésére.</w:t>
      </w:r>
      <w:bookmarkStart w:id="0" w:name="_GoBack"/>
      <w:bookmarkEnd w:id="0"/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 közszolgálati jogviszony időtartama: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proofErr w:type="gramStart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határozatlan</w:t>
      </w:r>
      <w:proofErr w:type="gramEnd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idejű közszolgálati jogviszony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Foglalkoztatás jellege: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Teljes munkaidő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munkavégzés helye: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Békés </w:t>
      </w: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Vármegye, 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5830 Battonya, Fő utca 91.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Ellátandó feladatok:</w:t>
      </w:r>
    </w:p>
    <w:p w:rsidR="00CC75D2" w:rsidRDefault="00CC75D2" w:rsidP="00CC75D2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>Foglalkoztatás szervezés, k</w:t>
      </w:r>
      <w:r w:rsidRPr="00CC75D2">
        <w:rPr>
          <w:rFonts w:ascii="Georgia" w:eastAsia="Times New Roman" w:hAnsi="Georgia" w:cs="Times New Roman"/>
          <w:color w:val="2B2B2B"/>
          <w:szCs w:val="24"/>
          <w:lang w:eastAsia="hu-HU"/>
        </w:rPr>
        <w:t>özfoglalkoztatási program iránti igény benyújtása a Foglalkoztatási Osztály felé a KTK rendszerben, szerződések elkészítése, havi elszámolások beküldése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. </w:t>
      </w:r>
      <w:r w:rsidRPr="00CC75D2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A jogszabályi előírások alapján </w:t>
      </w:r>
      <w:proofErr w:type="spellStart"/>
      <w:r>
        <w:rPr>
          <w:rFonts w:ascii="Georgia" w:eastAsia="Times New Roman" w:hAnsi="Georgia" w:cs="Times New Roman"/>
          <w:color w:val="2B2B2B"/>
          <w:szCs w:val="24"/>
          <w:lang w:eastAsia="hu-HU"/>
        </w:rPr>
        <w:t>közfoglalkoztatotti</w:t>
      </w:r>
      <w:proofErr w:type="spellEnd"/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(</w:t>
      </w:r>
      <w:proofErr w:type="spellStart"/>
      <w:r>
        <w:rPr>
          <w:rFonts w:ascii="Georgia" w:eastAsia="Times New Roman" w:hAnsi="Georgia" w:cs="Times New Roman"/>
          <w:color w:val="2B2B2B"/>
          <w:szCs w:val="24"/>
          <w:lang w:eastAsia="hu-HU"/>
        </w:rPr>
        <w:t>Mt</w:t>
      </w:r>
      <w:proofErr w:type="spellEnd"/>
      <w:r w:rsidRPr="00CC75D2">
        <w:rPr>
          <w:rFonts w:ascii="Georgia" w:eastAsia="Times New Roman" w:hAnsi="Georgia" w:cs="Times New Roman"/>
          <w:color w:val="2B2B2B"/>
          <w:szCs w:val="24"/>
          <w:lang w:eastAsia="hu-HU"/>
        </w:rPr>
        <w:t>) munkavállalók be- és kiléptetésével kapcsolatos okmányok elkészítése, személyi anyagának kezelése, munkaügyi nyilvántartás vezetése. Társadalombiztosítási feladatok ellátása, távollét, táppénzes papírok rögzítése a KIRA programban. Kapcsolattartás a munkavállalókkal, a bér- és TB ügyekkel kapcsolatos kérdéseik megválaszolása. Adatszolgáltatás a Magyar Államkincstár felé.</w:t>
      </w:r>
    </w:p>
    <w:p w:rsidR="00CC75D2" w:rsidRPr="00CC75D2" w:rsidRDefault="00CC75D2" w:rsidP="00CC75D2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CC75D2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Betöltendő állás szakmacsoportja</w:t>
      </w:r>
      <w:proofErr w:type="gramStart"/>
      <w:r w:rsidRPr="00CC75D2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:</w:t>
      </w:r>
      <w:r w:rsidRPr="00CC75D2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 gazdasági</w:t>
      </w:r>
      <w:proofErr w:type="gramEnd"/>
    </w:p>
    <w:p w:rsidR="00CC75D2" w:rsidRPr="00CC75D2" w:rsidRDefault="00CC75D2" w:rsidP="00CC75D2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CC75D2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FEOR besorolás</w:t>
      </w:r>
      <w:proofErr w:type="gramStart"/>
      <w:r w:rsidRPr="00CC75D2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:</w:t>
      </w:r>
      <w:r w:rsidRPr="00CC75D2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 3611</w:t>
      </w:r>
      <w:proofErr w:type="gramEnd"/>
      <w:r w:rsidRPr="00CC75D2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Pénzügyi ügyintéző (a pénzintézeti ügyintéző kivételével)</w:t>
      </w:r>
    </w:p>
    <w:p w:rsidR="00CC75D2" w:rsidRDefault="00CC75D2" w:rsidP="00CC75D2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CC75D2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Betöltendő állás munkakörének szakterülete (munkakörcsalád)</w:t>
      </w:r>
      <w:proofErr w:type="gramStart"/>
      <w:r w:rsidRPr="00CC75D2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:</w:t>
      </w:r>
      <w:r w:rsidRPr="00CC75D2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 Gazdálkodás</w:t>
      </w:r>
      <w:proofErr w:type="gramEnd"/>
      <w:r w:rsidRPr="00CC75D2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>/logisztikai/pénzügyi</w:t>
      </w:r>
    </w:p>
    <w:p w:rsidR="00CC75D2" w:rsidRPr="00475276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Foglalkoztatás időtartama, munkaideje, munkarendje, formája:</w:t>
      </w:r>
    </w:p>
    <w:p w:rsidR="00CC75D2" w:rsidRPr="00475276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 xml:space="preserve">  Határozatlan, 40 óra, teljes munkaidő (heti 40 óra)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Jogállás, illetmény és juttatások:</w:t>
      </w:r>
    </w:p>
    <w:p w:rsidR="00CC75D2" w:rsidRPr="00206F83" w:rsidRDefault="00CC75D2" w:rsidP="00CC75D2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A jogállásra, az illetmény megállapítására és a juttatásokra a közszolgálati tisztviselőkről szóló 2011. évi CXCIX. törvény rendelkezései, valamint a vonatkozó helyi önkormányzati rendelet és az Közszolgálati Szabályzat az irányadók.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Pályázati feltételek:</w:t>
      </w:r>
    </w:p>
    <w:p w:rsidR="00CC75D2" w:rsidRPr="00206F83" w:rsidRDefault="00CC75D2" w:rsidP="00CC7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magyar állampolgárság,</w:t>
      </w:r>
    </w:p>
    <w:p w:rsidR="00CC75D2" w:rsidRPr="00206F83" w:rsidRDefault="00CC75D2" w:rsidP="00CC7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cselekvőképesség,</w:t>
      </w:r>
    </w:p>
    <w:p w:rsidR="00CC75D2" w:rsidRPr="00206F83" w:rsidRDefault="00CC75D2" w:rsidP="00CC7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lastRenderedPageBreak/>
        <w:t>büntetlen előélet,</w:t>
      </w:r>
    </w:p>
    <w:p w:rsidR="00CC75D2" w:rsidRPr="00267DF7" w:rsidRDefault="00CC75D2" w:rsidP="00267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CC75D2">
        <w:rPr>
          <w:rFonts w:ascii="Georgia" w:eastAsia="Times New Roman" w:hAnsi="Georgia" w:cs="Times New Roman"/>
          <w:color w:val="2B2B2B"/>
          <w:szCs w:val="24"/>
          <w:lang w:eastAsia="hu-HU"/>
        </w:rPr>
        <w:t>középiskolai végzettség és gazdaságtudományi, statisztikai, banki ügyintézői, informatikai, műszaki, logisztikai, menedzserasszisztens szakképesítés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,</w:t>
      </w:r>
      <w:r w:rsidRPr="00CC75D2">
        <w:t xml:space="preserve"> </w:t>
      </w:r>
      <w:r w:rsidRPr="00CC75D2">
        <w:rPr>
          <w:rFonts w:ascii="Georgia" w:eastAsia="Times New Roman" w:hAnsi="Georgia" w:cs="Times New Roman"/>
          <w:color w:val="2B2B2B"/>
          <w:szCs w:val="24"/>
          <w:lang w:eastAsia="hu-HU"/>
        </w:rPr>
        <w:t>munkaügyi, társadalombiztosítási, szociális, emberi erőforrás gazdálkodási szakmacsoportba tartozó szakképesítés</w:t>
      </w:r>
      <w:r w:rsidR="00267DF7">
        <w:rPr>
          <w:rFonts w:ascii="Georgia" w:eastAsia="Times New Roman" w:hAnsi="Georgia" w:cs="Times New Roman"/>
          <w:color w:val="2B2B2B"/>
          <w:szCs w:val="24"/>
          <w:lang w:eastAsia="hu-HU"/>
        </w:rPr>
        <w:t>,</w:t>
      </w:r>
    </w:p>
    <w:p w:rsidR="00CC75D2" w:rsidRPr="00206F83" w:rsidRDefault="00CC75D2" w:rsidP="00CC7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vagyonnyilatkozat tételi eljárás lefolytatása,</w:t>
      </w:r>
    </w:p>
    <w:p w:rsidR="00CC75D2" w:rsidRDefault="00CC75D2" w:rsidP="00CC7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felhasználói szintű számítástechnikai (operációs rendszer, MS Office és ASP) ismeretek.</w:t>
      </w:r>
    </w:p>
    <w:p w:rsidR="00267DF7" w:rsidRPr="00206F83" w:rsidRDefault="00267DF7" w:rsidP="00267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67DF7">
        <w:rPr>
          <w:rFonts w:ascii="Georgia" w:eastAsia="Times New Roman" w:hAnsi="Georgia" w:cs="Times New Roman"/>
          <w:b/>
          <w:color w:val="2B2B2B"/>
          <w:szCs w:val="24"/>
          <w:lang w:eastAsia="hu-HU"/>
        </w:rPr>
        <w:t>Előnyt jelent: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felsőfokú végzettség, valamint hasonló munkakörben szerzett szakmai tapasztalat.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pályázat részeként benyújtandó iratok, igazolások:</w:t>
      </w:r>
    </w:p>
    <w:p w:rsidR="00CC75D2" w:rsidRPr="00206F83" w:rsidRDefault="00CC75D2" w:rsidP="00CC7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részletes szakmai önéletrajz a 87/2019. (IV. 23.) Korm. rendelet 1. melléklete szerint megadott tartalommal,</w:t>
      </w:r>
    </w:p>
    <w:p w:rsidR="00CC75D2" w:rsidRPr="00206F83" w:rsidRDefault="00CC75D2" w:rsidP="00CC7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végzettséget igazoló okiratok másolata,</w:t>
      </w:r>
    </w:p>
    <w:p w:rsidR="00CC75D2" w:rsidRPr="00206F83" w:rsidRDefault="00CC75D2" w:rsidP="00CC7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érvényes (90 napnál nem régebbi) hatósági erkölcsi bizonyítvány a </w:t>
      </w:r>
      <w:proofErr w:type="spellStart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Kttv</w:t>
      </w:r>
      <w:proofErr w:type="spellEnd"/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. 42. § alapján, (vagy arra vonatkozó igazolás, hogy a pályázó a pályázata benyújtásáig az erkölcsi bizonyítvány kiállítását kérelmezte),</w:t>
      </w:r>
    </w:p>
    <w:p w:rsidR="00CC75D2" w:rsidRPr="00206F83" w:rsidRDefault="00CC75D2" w:rsidP="00CC7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a pályázó nyilatkozata, amelyben hozzájárul, hogy pályázati anyagát a pályázat elbírálásában résztvevők megismerhessék, illetve abba beletekinthessenek, a pályázati anyagában foglalt személyes adatainak a pályázati eljárással összefüggésben szükséges kezelésére sor kerüljön,</w:t>
      </w:r>
    </w:p>
    <w:p w:rsidR="00CC75D2" w:rsidRPr="00206F83" w:rsidRDefault="00CC75D2" w:rsidP="00CC7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vagyonnyilatkozat-tételi kötelezettség teljesítésé</w:t>
      </w:r>
      <w:r w:rsidR="00267DF7">
        <w:rPr>
          <w:rFonts w:ascii="Georgia" w:eastAsia="Times New Roman" w:hAnsi="Georgia" w:cs="Times New Roman"/>
          <w:color w:val="2B2B2B"/>
          <w:szCs w:val="24"/>
          <w:lang w:eastAsia="hu-HU"/>
        </w:rPr>
        <w:t>re vonatkozó szándéknyilatkozat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munkakör betölthetőségének időpontja:</w:t>
      </w:r>
    </w:p>
    <w:p w:rsidR="00CC75D2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 w:themeColor="text1"/>
          <w:szCs w:val="24"/>
          <w:lang w:eastAsia="hu-HU"/>
        </w:rPr>
      </w:pPr>
      <w:r w:rsidRPr="00475276">
        <w:rPr>
          <w:rFonts w:ascii="Georgia" w:eastAsia="Times New Roman" w:hAnsi="Georgia" w:cs="Times New Roman"/>
          <w:color w:val="000000" w:themeColor="text1"/>
          <w:szCs w:val="24"/>
          <w:lang w:eastAsia="hu-HU"/>
        </w:rPr>
        <w:t>2024. október 1.</w:t>
      </w:r>
    </w:p>
    <w:p w:rsidR="00267DF7" w:rsidRPr="00267DF7" w:rsidRDefault="00267DF7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</w:pPr>
      <w:r w:rsidRPr="00267DF7">
        <w:rPr>
          <w:rFonts w:ascii="Georgia" w:eastAsia="Times New Roman" w:hAnsi="Georgia" w:cs="Times New Roman"/>
          <w:b/>
          <w:color w:val="000000" w:themeColor="text1"/>
          <w:szCs w:val="24"/>
          <w:lang w:eastAsia="hu-HU"/>
        </w:rPr>
        <w:t>A kiíró fenntartja a jogot, hogy a pályázati eljárást eredménytelennek nyilvánítja.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pályázat benyújtásának határideje:</w:t>
      </w:r>
      <w:r w:rsidRPr="00206F83">
        <w:rPr>
          <w:rFonts w:ascii="Georgia" w:eastAsia="Times New Roman" w:hAnsi="Georgia" w:cs="Times New Roman"/>
          <w:color w:val="2B2B2B"/>
          <w:szCs w:val="24"/>
          <w:lang w:eastAsia="hu-HU"/>
        </w:rPr>
        <w:t> 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2024. szeptember 26.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A pályázatok benyújtásának módja:</w:t>
      </w:r>
    </w:p>
    <w:p w:rsidR="00CC75D2" w:rsidRDefault="00CC75D2" w:rsidP="00CC75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B2B2B"/>
          <w:szCs w:val="24"/>
          <w:lang w:eastAsia="hu-HU"/>
        </w:rPr>
      </w:pPr>
      <w:r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Postai úton, a pályázatnak Battonya Város </w:t>
      </w:r>
      <w:r w:rsidRPr="00B460C4">
        <w:rPr>
          <w:rFonts w:ascii="Georgia" w:eastAsia="Times New Roman" w:hAnsi="Georgia" w:cs="Times New Roman"/>
          <w:color w:val="2B2B2B"/>
          <w:szCs w:val="24"/>
          <w:lang w:eastAsia="hu-HU"/>
        </w:rPr>
        <w:t>Önkormányzat címére történő megküldésével (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5830 Battonya, Fő utca 91.) vagy személyesen.</w:t>
      </w:r>
      <w:r w:rsidRPr="00B460C4">
        <w:rPr>
          <w:rFonts w:ascii="Georgia" w:eastAsia="Times New Roman" w:hAnsi="Georgia" w:cs="Times New Roman"/>
          <w:color w:val="2B2B2B"/>
          <w:szCs w:val="24"/>
          <w:lang w:eastAsia="hu-HU"/>
        </w:rPr>
        <w:t xml:space="preserve"> Kérjük a borítékon feltüntetni </w:t>
      </w:r>
      <w:r w:rsidR="00267DF7">
        <w:rPr>
          <w:rFonts w:ascii="Georgia" w:eastAsia="Times New Roman" w:hAnsi="Georgia" w:cs="Times New Roman"/>
          <w:color w:val="2B2B2B"/>
          <w:szCs w:val="24"/>
          <w:lang w:eastAsia="hu-HU"/>
        </w:rPr>
        <w:t>munkakör megnevezését: pénzügyi ügyintéző</w:t>
      </w:r>
      <w:r>
        <w:rPr>
          <w:rFonts w:ascii="Georgia" w:eastAsia="Times New Roman" w:hAnsi="Georgia" w:cs="Times New Roman"/>
          <w:color w:val="2B2B2B"/>
          <w:szCs w:val="24"/>
          <w:lang w:eastAsia="hu-HU"/>
        </w:rPr>
        <w:t>.</w:t>
      </w:r>
    </w:p>
    <w:p w:rsidR="00CC75D2" w:rsidRPr="00206F83" w:rsidRDefault="00CC75D2" w:rsidP="00CC75D2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2B2B2B"/>
          <w:szCs w:val="24"/>
          <w:lang w:eastAsia="hu-HU"/>
        </w:rPr>
      </w:pPr>
      <w:r w:rsidRPr="00206F83"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 xml:space="preserve">A pályázat elbírálásának </w:t>
      </w:r>
      <w:r>
        <w:rPr>
          <w:rFonts w:ascii="Georgia" w:eastAsia="Times New Roman" w:hAnsi="Georgia" w:cs="Times New Roman"/>
          <w:b/>
          <w:bCs/>
          <w:color w:val="2B2B2B"/>
          <w:szCs w:val="24"/>
          <w:lang w:eastAsia="hu-HU"/>
        </w:rPr>
        <w:t>időpontja: 2024. október 1. 8:00 óra</w:t>
      </w:r>
    </w:p>
    <w:p w:rsidR="00CC75D2" w:rsidRDefault="00CC75D2" w:rsidP="00CC75D2"/>
    <w:p w:rsidR="00F6429A" w:rsidRDefault="00F6429A"/>
    <w:sectPr w:rsidR="00F6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B3365"/>
    <w:multiLevelType w:val="multilevel"/>
    <w:tmpl w:val="EF50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D2481"/>
    <w:multiLevelType w:val="multilevel"/>
    <w:tmpl w:val="4F8C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D2"/>
    <w:rsid w:val="00267DF7"/>
    <w:rsid w:val="00456DE1"/>
    <w:rsid w:val="00CC75D2"/>
    <w:rsid w:val="00F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52C5-CF6A-4DA1-B1BF-0901E905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75D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czanita</dc:creator>
  <cp:keywords/>
  <dc:description/>
  <cp:lastModifiedBy>czanita</cp:lastModifiedBy>
  <cp:revision>3</cp:revision>
  <dcterms:created xsi:type="dcterms:W3CDTF">2024-09-09T10:59:00Z</dcterms:created>
  <dcterms:modified xsi:type="dcterms:W3CDTF">2024-09-09T11:36:00Z</dcterms:modified>
</cp:coreProperties>
</file>